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2B0E" w14:textId="77777777" w:rsidR="00040B46" w:rsidRDefault="00040B46" w:rsidP="00040B4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9BD80C5" w14:textId="77777777" w:rsidR="00040B46" w:rsidRDefault="00040B46" w:rsidP="00040B4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6601C062" w14:textId="77777777" w:rsidR="00040B46" w:rsidRDefault="00040B46" w:rsidP="00040B4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6C3E5FFE" w14:textId="77777777" w:rsidR="00040B46" w:rsidRDefault="00040B46" w:rsidP="00040B4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ГОСТОМЛЬСКОГО СЕЛЬСКОГО ПОСЕЛЕНИЯ</w:t>
      </w:r>
    </w:p>
    <w:p w14:paraId="2FF57ECC" w14:textId="77777777" w:rsidR="00040B46" w:rsidRDefault="00040B46" w:rsidP="00040B4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0E24C2" w14:textId="77777777" w:rsidR="00040B46" w:rsidRDefault="00040B46" w:rsidP="00040B46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1A51FB6" w14:textId="77777777" w:rsidR="00040B46" w:rsidRDefault="00040B46" w:rsidP="00040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BE5F0F" w14:textId="4AD523BA" w:rsidR="00040B46" w:rsidRDefault="00040B46" w:rsidP="00040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г.                                                                                                   №44</w:t>
      </w:r>
    </w:p>
    <w:p w14:paraId="1051A967" w14:textId="77777777" w:rsidR="00040B46" w:rsidRDefault="00040B46" w:rsidP="00040B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Шоссе</w:t>
      </w:r>
    </w:p>
    <w:p w14:paraId="27DC9DED" w14:textId="77777777" w:rsidR="00040B46" w:rsidRDefault="00040B46" w:rsidP="00040B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6EEB" w14:textId="0E85EECD" w:rsidR="00F5686C" w:rsidRPr="00731D41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731D41">
      <w:pPr>
        <w:pStyle w:val="a5"/>
        <w:ind w:right="-2" w:firstLine="0"/>
        <w:contextualSpacing/>
        <w:rPr>
          <w:sz w:val="28"/>
          <w:szCs w:val="28"/>
        </w:rPr>
      </w:pPr>
    </w:p>
    <w:p w14:paraId="06FE569B" w14:textId="77777777" w:rsidR="00766E4F" w:rsidRDefault="00F5686C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040B46">
        <w:rPr>
          <w:rFonts w:ascii="Times New Roman" w:hAnsi="Times New Roman" w:cs="Times New Roman"/>
          <w:sz w:val="28"/>
          <w:szCs w:val="28"/>
        </w:rPr>
        <w:t xml:space="preserve"> администрация Гостомль</w:t>
      </w:r>
      <w:r w:rsidR="00515D5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14:paraId="7573C410" w14:textId="51AC6A6E" w:rsidR="00F5686C" w:rsidRPr="00331BD8" w:rsidRDefault="00515D51" w:rsidP="00731D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5686C" w:rsidRPr="00331BD8">
        <w:rPr>
          <w:rFonts w:ascii="Times New Roman" w:hAnsi="Times New Roman" w:cs="Times New Roman"/>
          <w:sz w:val="28"/>
          <w:szCs w:val="28"/>
        </w:rPr>
        <w:t>:</w:t>
      </w:r>
    </w:p>
    <w:p w14:paraId="75359D9C" w14:textId="2BF81715" w:rsidR="00F5686C" w:rsidRPr="00331BD8" w:rsidRDefault="009618DD" w:rsidP="00731D4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sz w:val="28"/>
          <w:szCs w:val="28"/>
        </w:rPr>
        <w:t>6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004E85A4" w14:textId="67866578" w:rsidR="00515D51" w:rsidRDefault="00515D51" w:rsidP="005D15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15D51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5D151A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515D51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  <w:r w:rsidR="002C337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7484C70" w14:textId="50CEBE92" w:rsidR="002C3372" w:rsidRPr="002C3372" w:rsidRDefault="00515D51" w:rsidP="005D15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372"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="002C3372"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49C3C5" w14:textId="68000A28" w:rsidR="00F5686C" w:rsidRPr="00331BD8" w:rsidRDefault="00515D51" w:rsidP="005D15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372"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0CE82DC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C6C6A2" w14:textId="77777777" w:rsidR="00766E4F" w:rsidRDefault="00766E4F" w:rsidP="002C33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2397A9" w14:textId="77777777" w:rsidR="00766E4F" w:rsidRDefault="00766E4F" w:rsidP="002C33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030E4D" w14:textId="057DF1AF" w:rsidR="00731D41" w:rsidRDefault="00F5686C" w:rsidP="00766E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</w:t>
      </w:r>
      <w:r w:rsidR="00040B46">
        <w:rPr>
          <w:rFonts w:ascii="Times New Roman" w:hAnsi="Times New Roman" w:cs="Times New Roman"/>
          <w:sz w:val="28"/>
          <w:szCs w:val="28"/>
        </w:rPr>
        <w:t>Т.Н. Клиндухова</w:t>
      </w:r>
    </w:p>
    <w:p w14:paraId="305C95EE" w14:textId="77777777" w:rsidR="00731D41" w:rsidRPr="00331BD8" w:rsidRDefault="00731D41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D84EB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77777777" w:rsidR="00F5686C" w:rsidRPr="00331BD8" w:rsidRDefault="00F5686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00DB1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4A17F2" w14:textId="77777777" w:rsidR="00FD686B" w:rsidRDefault="00FD686B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BF8E26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BD3654" w14:textId="77777777" w:rsidR="0094578C" w:rsidRDefault="0094578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582376" w14:textId="77777777" w:rsidR="00515D51" w:rsidRDefault="00515D51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E073FE4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313BA602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040B46">
        <w:rPr>
          <w:rFonts w:ascii="Times New Roman" w:eastAsia="Times New Roman" w:hAnsi="Times New Roman" w:cs="Times New Roman"/>
          <w:sz w:val="28"/>
          <w:szCs w:val="28"/>
        </w:rPr>
        <w:t>Гостомль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>ского</w:t>
      </w:r>
    </w:p>
    <w:p w14:paraId="7165BB0D" w14:textId="77777777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0A97024E" w:rsidR="00F5686C" w:rsidRPr="00331BD8" w:rsidRDefault="00F5686C" w:rsidP="00731D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15D51">
        <w:rPr>
          <w:rFonts w:ascii="Times New Roman" w:eastAsia="Times New Roman" w:hAnsi="Times New Roman" w:cs="Times New Roman"/>
          <w:sz w:val="28"/>
          <w:szCs w:val="28"/>
        </w:rPr>
        <w:t>16.12.2025</w:t>
      </w:r>
      <w:r w:rsidR="00BA38EE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040B46">
        <w:rPr>
          <w:rFonts w:ascii="Times New Roman" w:eastAsia="Times New Roman" w:hAnsi="Times New Roman" w:cs="Times New Roman"/>
          <w:sz w:val="28"/>
          <w:szCs w:val="28"/>
        </w:rPr>
        <w:t>44</w:t>
      </w:r>
    </w:p>
    <w:p w14:paraId="51310A91" w14:textId="77777777" w:rsidR="00220C0D" w:rsidRPr="00331BD8" w:rsidRDefault="00220C0D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74F5D965" w:rsidR="00220C0D" w:rsidRPr="00331BD8" w:rsidRDefault="00220C0D" w:rsidP="00731D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515D51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261F4382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1C6A9077" w:rsidR="00220C0D" w:rsidRPr="00331BD8" w:rsidRDefault="00220C0D" w:rsidP="00731D4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040B46">
        <w:rPr>
          <w:rFonts w:ascii="Times New Roman" w:hAnsi="Times New Roman" w:cs="Times New Roman"/>
          <w:sz w:val="28"/>
          <w:szCs w:val="28"/>
        </w:rPr>
        <w:t>Гостомль</w:t>
      </w:r>
      <w:r w:rsidRPr="00331BD8">
        <w:rPr>
          <w:rFonts w:ascii="Times New Roman" w:hAnsi="Times New Roman" w:cs="Times New Roman"/>
          <w:sz w:val="28"/>
          <w:szCs w:val="28"/>
        </w:rPr>
        <w:t>ского сельского поселения Кромского района Орловской области,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731D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731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731D41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731D41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731D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296AF912" w:rsidR="00220C0D" w:rsidRPr="00331BD8" w:rsidRDefault="00220C0D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040B46">
        <w:rPr>
          <w:rFonts w:ascii="Times New Roman" w:hAnsi="Times New Roman" w:cs="Times New Roman"/>
          <w:sz w:val="28"/>
          <w:szCs w:val="28"/>
        </w:rPr>
        <w:t>Гостомль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27EF228C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За текущий период  </w:t>
      </w:r>
      <w:r w:rsidR="00515D51" w:rsidRPr="00331BD8">
        <w:rPr>
          <w:rFonts w:ascii="Times New Roman" w:hAnsi="Times New Roman" w:cs="Times New Roman"/>
          <w:b w:val="0"/>
          <w:sz w:val="28"/>
          <w:szCs w:val="28"/>
        </w:rPr>
        <w:t>202</w:t>
      </w:r>
      <w:r w:rsidR="00515D51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года в рамках муниципального контроля в сфере благоустройства на территории </w:t>
      </w:r>
      <w:r w:rsidR="00040B46">
        <w:rPr>
          <w:rFonts w:ascii="Times New Roman" w:hAnsi="Times New Roman" w:cs="Times New Roman"/>
          <w:b w:val="0"/>
          <w:sz w:val="28"/>
          <w:szCs w:val="28"/>
        </w:rPr>
        <w:t>Гостомль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ского 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3E7AF515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515D51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731D41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3872147F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 202</w:t>
      </w:r>
      <w:r w:rsidR="00515D51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42151FF3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515D51">
        <w:rPr>
          <w:rFonts w:ascii="Times New Roman" w:hAnsi="Times New Roman" w:cs="Times New Roman"/>
          <w:sz w:val="28"/>
          <w:szCs w:val="28"/>
        </w:rPr>
        <w:t>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08BE950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в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731D4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731D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731D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lastRenderedPageBreak/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1199AC9A" w:rsidR="0026039A" w:rsidRPr="00331BD8" w:rsidRDefault="0026039A" w:rsidP="00731D41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040B46" w:rsidRPr="00331BD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40B46">
        <w:rPr>
          <w:rFonts w:ascii="Times New Roman" w:hAnsi="Times New Roman" w:cs="Times New Roman"/>
          <w:sz w:val="28"/>
          <w:szCs w:val="28"/>
        </w:rPr>
        <w:t>Гостомльского</w:t>
      </w:r>
      <w:r w:rsidR="00040B46" w:rsidRPr="00331BD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40B46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27.09.2021 г. № 1-5</w:t>
      </w:r>
      <w:r w:rsidR="00040B46" w:rsidRPr="00331BD8">
        <w:rPr>
          <w:rFonts w:ascii="Times New Roman" w:hAnsi="Times New Roman" w:cs="Times New Roman"/>
          <w:sz w:val="28"/>
          <w:szCs w:val="28"/>
        </w:rPr>
        <w:t>сс</w:t>
      </w:r>
      <w:r w:rsidRPr="00331BD8">
        <w:rPr>
          <w:rFonts w:ascii="Times New Roman" w:hAnsi="Times New Roman" w:cs="Times New Roman"/>
          <w:sz w:val="28"/>
          <w:szCs w:val="28"/>
        </w:rPr>
        <w:t>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6E1E8541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3EB0B99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0B289F2A" w14:textId="77777777" w:rsidR="00FD686B" w:rsidRPr="00215DDC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306EB2AD" w14:textId="77777777" w:rsidR="0026039A" w:rsidRPr="00FD686B" w:rsidRDefault="00FD686B" w:rsidP="00731D4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="0026039A" w:rsidRPr="00331BD8">
        <w:rPr>
          <w:rFonts w:ascii="Times New Roman" w:hAnsi="Times New Roman" w:cs="Times New Roman"/>
          <w:sz w:val="28"/>
          <w:szCs w:val="28"/>
        </w:rPr>
        <w:t>.</w:t>
      </w:r>
    </w:p>
    <w:p w14:paraId="21C954F7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29393E8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</w:t>
      </w:r>
      <w:r w:rsidR="00040B46">
        <w:rPr>
          <w:rFonts w:ascii="Times New Roman" w:hAnsi="Times New Roman" w:cs="Times New Roman"/>
          <w:sz w:val="28"/>
          <w:szCs w:val="28"/>
        </w:rPr>
        <w:t xml:space="preserve"> по итогам 2025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731D41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7777777" w:rsidR="0026039A" w:rsidRPr="00331BD8" w:rsidRDefault="0026039A" w:rsidP="00731D41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E82EEC0" w14:textId="77777777" w:rsidR="0026039A" w:rsidRPr="00331BD8" w:rsidRDefault="0026039A" w:rsidP="00731D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000E2568" w14:textId="77777777" w:rsidR="00F5686C" w:rsidRPr="00331BD8" w:rsidRDefault="00A636D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29B4F35D" w:rsidR="00F5686C" w:rsidRPr="00331BD8" w:rsidRDefault="00F5686C" w:rsidP="00731D4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515D51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731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731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55B8AF5C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40B46">
              <w:rPr>
                <w:rFonts w:ascii="Times New Roman" w:hAnsi="Times New Roman" w:cs="Times New Roman"/>
                <w:sz w:val="24"/>
                <w:szCs w:val="24"/>
              </w:rPr>
              <w:t>Гостомль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(или)</w:t>
            </w:r>
          </w:p>
          <w:p w14:paraId="56C8163B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5509CC5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5E85B0A3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40B46">
              <w:rPr>
                <w:rFonts w:ascii="Times New Roman" w:hAnsi="Times New Roman" w:cs="Times New Roman"/>
                <w:sz w:val="24"/>
                <w:szCs w:val="24"/>
              </w:rPr>
              <w:t>Гостомль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(или)</w:t>
            </w:r>
          </w:p>
          <w:p w14:paraId="078F3EE0" w14:textId="77777777" w:rsidR="00FD686B" w:rsidRPr="00331BD8" w:rsidRDefault="00FD686B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26E3781E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40B46">
              <w:rPr>
                <w:rFonts w:ascii="Times New Roman" w:hAnsi="Times New Roman" w:cs="Times New Roman"/>
                <w:sz w:val="24"/>
                <w:szCs w:val="24"/>
              </w:rPr>
              <w:t>Гостомль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(или)</w:t>
            </w:r>
          </w:p>
          <w:p w14:paraId="639165D6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14:paraId="7166B75A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35B7CDA8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040B46">
              <w:rPr>
                <w:rFonts w:ascii="Times New Roman" w:hAnsi="Times New Roman" w:cs="Times New Roman"/>
                <w:sz w:val="24"/>
                <w:szCs w:val="24"/>
              </w:rPr>
              <w:t>Гостомль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 (или)</w:t>
            </w:r>
          </w:p>
          <w:p w14:paraId="3AB8BABF" w14:textId="77777777" w:rsidR="005401CD" w:rsidRPr="00331BD8" w:rsidRDefault="005401CD" w:rsidP="00731D4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331BD8" w:rsidRDefault="0026039A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731D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</w:tc>
      </w:tr>
    </w:tbl>
    <w:p w14:paraId="55298AA4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73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D8C03" w14:textId="77777777" w:rsidR="00256196" w:rsidRDefault="00256196" w:rsidP="00F5686C">
      <w:pPr>
        <w:spacing w:after="0" w:line="240" w:lineRule="auto"/>
      </w:pPr>
      <w:r>
        <w:separator/>
      </w:r>
    </w:p>
  </w:endnote>
  <w:endnote w:type="continuationSeparator" w:id="0">
    <w:p w14:paraId="6893ED33" w14:textId="77777777" w:rsidR="00256196" w:rsidRDefault="00256196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0A51E" w14:textId="77777777" w:rsidR="00256196" w:rsidRDefault="00256196" w:rsidP="00F5686C">
      <w:pPr>
        <w:spacing w:after="0" w:line="240" w:lineRule="auto"/>
      </w:pPr>
      <w:r>
        <w:separator/>
      </w:r>
    </w:p>
  </w:footnote>
  <w:footnote w:type="continuationSeparator" w:id="0">
    <w:p w14:paraId="24E24C2E" w14:textId="77777777" w:rsidR="00256196" w:rsidRDefault="00256196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59908447">
    <w:abstractNumId w:val="0"/>
  </w:num>
  <w:num w:numId="2" w16cid:durableId="170304576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007651">
    <w:abstractNumId w:val="3"/>
  </w:num>
  <w:num w:numId="4" w16cid:durableId="1915626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1762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88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D"/>
    <w:rsid w:val="000242D1"/>
    <w:rsid w:val="00040B46"/>
    <w:rsid w:val="000A3142"/>
    <w:rsid w:val="001E1FBB"/>
    <w:rsid w:val="00220C0D"/>
    <w:rsid w:val="00256196"/>
    <w:rsid w:val="0026039A"/>
    <w:rsid w:val="002C3372"/>
    <w:rsid w:val="00305780"/>
    <w:rsid w:val="00331BD8"/>
    <w:rsid w:val="00353DE6"/>
    <w:rsid w:val="00385DB0"/>
    <w:rsid w:val="003964E0"/>
    <w:rsid w:val="003A3E9A"/>
    <w:rsid w:val="003A6310"/>
    <w:rsid w:val="00421FDB"/>
    <w:rsid w:val="00477750"/>
    <w:rsid w:val="00494B64"/>
    <w:rsid w:val="00515D51"/>
    <w:rsid w:val="005401CD"/>
    <w:rsid w:val="00572182"/>
    <w:rsid w:val="005C4D3C"/>
    <w:rsid w:val="005D151A"/>
    <w:rsid w:val="006B0D83"/>
    <w:rsid w:val="006C07A2"/>
    <w:rsid w:val="006F1E99"/>
    <w:rsid w:val="006F4F8A"/>
    <w:rsid w:val="00725DF3"/>
    <w:rsid w:val="00731D41"/>
    <w:rsid w:val="00766E4F"/>
    <w:rsid w:val="007E3084"/>
    <w:rsid w:val="00864D87"/>
    <w:rsid w:val="0093286D"/>
    <w:rsid w:val="0094578C"/>
    <w:rsid w:val="009618DD"/>
    <w:rsid w:val="009950CA"/>
    <w:rsid w:val="00A10EF7"/>
    <w:rsid w:val="00A3272B"/>
    <w:rsid w:val="00A636DC"/>
    <w:rsid w:val="00B20899"/>
    <w:rsid w:val="00B23758"/>
    <w:rsid w:val="00B712EC"/>
    <w:rsid w:val="00BA38EE"/>
    <w:rsid w:val="00CB61D2"/>
    <w:rsid w:val="00D33DBD"/>
    <w:rsid w:val="00D67950"/>
    <w:rsid w:val="00E044C9"/>
    <w:rsid w:val="00E15EBC"/>
    <w:rsid w:val="00E20E60"/>
    <w:rsid w:val="00E2504B"/>
    <w:rsid w:val="00E30893"/>
    <w:rsid w:val="00E31EE6"/>
    <w:rsid w:val="00E861FB"/>
    <w:rsid w:val="00EA0E71"/>
    <w:rsid w:val="00F5686C"/>
    <w:rsid w:val="00F67BD5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  <w15:docId w15:val="{E4323A38-92E7-4C92-A754-65E020EB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5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2024-12-09T12:05:00Z</cp:lastPrinted>
  <dcterms:created xsi:type="dcterms:W3CDTF">2025-12-17T06:08:00Z</dcterms:created>
  <dcterms:modified xsi:type="dcterms:W3CDTF">2025-12-17T09:18:00Z</dcterms:modified>
</cp:coreProperties>
</file>