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8E55" w14:textId="77777777" w:rsidR="00843BC6" w:rsidRPr="004B34D5" w:rsidRDefault="00843BC6" w:rsidP="00724B6F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4D5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14:paraId="6293315D" w14:textId="77777777" w:rsidR="00843BC6" w:rsidRPr="004B34D5" w:rsidRDefault="00843BC6" w:rsidP="00724B6F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4D5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14:paraId="43D9987F" w14:textId="77777777" w:rsidR="00F26D52" w:rsidRDefault="00F26D52" w:rsidP="00724B6F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«Проверка обоснованного и эффективного использования бюджетных средств выделенных на приобретение материальных запасов МБОУ «Кромская начальная общеобразовательная школа» за период 2017-2018гг.»</w:t>
      </w:r>
    </w:p>
    <w:p w14:paraId="0DBC2691" w14:textId="77777777" w:rsidR="00843BC6" w:rsidRPr="004B34D5" w:rsidRDefault="00843BC6" w:rsidP="00843BC6">
      <w:pPr>
        <w:jc w:val="center"/>
        <w:rPr>
          <w:sz w:val="28"/>
          <w:szCs w:val="28"/>
        </w:rPr>
      </w:pPr>
    </w:p>
    <w:p w14:paraId="062047C5" w14:textId="77777777" w:rsidR="00843BC6" w:rsidRDefault="00843BC6" w:rsidP="00843BC6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B34D5">
        <w:rPr>
          <w:sz w:val="28"/>
          <w:szCs w:val="28"/>
        </w:rPr>
        <w:t xml:space="preserve">1. Основание для проведения контрольного мероприятия: </w:t>
      </w:r>
      <w:r w:rsidR="00F26D52">
        <w:rPr>
          <w:rFonts w:eastAsia="Courier New"/>
          <w:sz w:val="28"/>
          <w:szCs w:val="28"/>
          <w:lang w:bidi="ru-RU"/>
        </w:rPr>
        <w:t>статьи 157</w:t>
      </w:r>
      <w:r w:rsidRPr="004B34D5">
        <w:rPr>
          <w:rFonts w:eastAsia="Courier New"/>
          <w:sz w:val="28"/>
          <w:szCs w:val="28"/>
          <w:lang w:bidi="ru-RU"/>
        </w:rPr>
        <w:t xml:space="preserve">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26D52">
        <w:rPr>
          <w:sz w:val="28"/>
          <w:szCs w:val="28"/>
        </w:rPr>
        <w:t>п.п. 1.3. пункта 1 плана работы Контрольно- счетной палаты Кромского района Орловской области на 2019 год</w:t>
      </w:r>
      <w:r w:rsidR="00F26D52" w:rsidRPr="004B34D5">
        <w:rPr>
          <w:rFonts w:eastAsia="Calibri"/>
          <w:sz w:val="28"/>
          <w:szCs w:val="28"/>
        </w:rPr>
        <w:t xml:space="preserve">, </w:t>
      </w:r>
      <w:r w:rsidR="00F26D52" w:rsidRPr="004B34D5">
        <w:rPr>
          <w:rFonts w:eastAsia="Calibri"/>
          <w:sz w:val="28"/>
          <w:szCs w:val="28"/>
          <w:lang w:bidi="ru-RU"/>
        </w:rPr>
        <w:t>распоряжение</w:t>
      </w:r>
      <w:r w:rsidRPr="004B34D5">
        <w:rPr>
          <w:rFonts w:ascii="Calibri" w:eastAsia="Calibri" w:hAnsi="Calibri"/>
          <w:sz w:val="28"/>
          <w:szCs w:val="28"/>
        </w:rPr>
        <w:t xml:space="preserve"> </w:t>
      </w:r>
      <w:r w:rsidRPr="004B34D5">
        <w:rPr>
          <w:rFonts w:eastAsia="Courier New"/>
          <w:sz w:val="28"/>
          <w:szCs w:val="28"/>
          <w:lang w:bidi="ru-RU"/>
        </w:rPr>
        <w:t xml:space="preserve">от </w:t>
      </w:r>
      <w:r w:rsidR="00F26D52">
        <w:rPr>
          <w:sz w:val="28"/>
          <w:szCs w:val="28"/>
        </w:rPr>
        <w:t>16 августа</w:t>
      </w:r>
      <w:r w:rsidR="00F26D52" w:rsidRPr="00B51D28">
        <w:rPr>
          <w:sz w:val="28"/>
          <w:szCs w:val="28"/>
        </w:rPr>
        <w:t xml:space="preserve"> 2019г. №</w:t>
      </w:r>
      <w:r w:rsidR="00F26D52">
        <w:rPr>
          <w:sz w:val="28"/>
          <w:szCs w:val="28"/>
        </w:rPr>
        <w:t xml:space="preserve"> 2</w:t>
      </w:r>
      <w:r w:rsidR="00F26D52" w:rsidRPr="00B51D28">
        <w:rPr>
          <w:sz w:val="28"/>
          <w:szCs w:val="28"/>
        </w:rPr>
        <w:t>-ксп</w:t>
      </w:r>
      <w:r w:rsidRPr="004B34D5">
        <w:rPr>
          <w:rFonts w:eastAsia="Courier New"/>
          <w:sz w:val="28"/>
          <w:szCs w:val="28"/>
          <w:lang w:bidi="ru-RU"/>
        </w:rPr>
        <w:t>.</w:t>
      </w:r>
    </w:p>
    <w:p w14:paraId="1F6E01CC" w14:textId="77777777" w:rsidR="00D733C5" w:rsidRPr="004B34D5" w:rsidRDefault="00843BC6" w:rsidP="00843BC6">
      <w:pPr>
        <w:ind w:firstLine="709"/>
        <w:jc w:val="both"/>
        <w:rPr>
          <w:rFonts w:eastAsia="Courier New"/>
          <w:i/>
          <w:iCs/>
          <w:sz w:val="28"/>
          <w:szCs w:val="28"/>
          <w:u w:val="single"/>
          <w:shd w:val="clear" w:color="auto" w:fill="FFFFFF"/>
          <w:lang w:bidi="ru-RU"/>
        </w:rPr>
      </w:pPr>
      <w:r w:rsidRPr="004B34D5">
        <w:rPr>
          <w:sz w:val="28"/>
          <w:szCs w:val="28"/>
        </w:rPr>
        <w:t xml:space="preserve">2. Объект контрольного мероприятия: </w:t>
      </w:r>
      <w:r w:rsidR="00F26D52">
        <w:rPr>
          <w:sz w:val="28"/>
          <w:szCs w:val="28"/>
        </w:rPr>
        <w:t>МБОУ «Кромская начальная общеобразовательная школа»</w:t>
      </w:r>
    </w:p>
    <w:p w14:paraId="5A47AF8C" w14:textId="77777777" w:rsidR="00843BC6" w:rsidRDefault="00843BC6" w:rsidP="00843BC6">
      <w:pPr>
        <w:ind w:firstLine="709"/>
        <w:jc w:val="both"/>
        <w:rPr>
          <w:rFonts w:eastAsia="Calibri"/>
          <w:sz w:val="28"/>
          <w:szCs w:val="28"/>
        </w:rPr>
      </w:pPr>
      <w:r w:rsidRPr="004B34D5">
        <w:rPr>
          <w:sz w:val="28"/>
          <w:szCs w:val="28"/>
        </w:rPr>
        <w:t xml:space="preserve">3. Проверяемый период деятельности: </w:t>
      </w:r>
      <w:r w:rsidR="00F26D52">
        <w:rPr>
          <w:rFonts w:eastAsia="Calibri"/>
          <w:sz w:val="28"/>
          <w:szCs w:val="28"/>
        </w:rPr>
        <w:t>2017-</w:t>
      </w:r>
      <w:r w:rsidRPr="004B34D5">
        <w:rPr>
          <w:rFonts w:eastAsia="Calibri"/>
          <w:sz w:val="28"/>
          <w:szCs w:val="28"/>
        </w:rPr>
        <w:t xml:space="preserve"> 2018 г</w:t>
      </w:r>
      <w:r w:rsidR="00F26D52">
        <w:rPr>
          <w:rFonts w:eastAsia="Calibri"/>
          <w:sz w:val="28"/>
          <w:szCs w:val="28"/>
        </w:rPr>
        <w:t>г.</w:t>
      </w:r>
    </w:p>
    <w:p w14:paraId="0B266FCB" w14:textId="77777777" w:rsidR="00843BC6" w:rsidRDefault="00F26D52" w:rsidP="00843BC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43BC6" w:rsidRPr="004B34D5">
        <w:rPr>
          <w:sz w:val="28"/>
          <w:szCs w:val="28"/>
        </w:rPr>
        <w:t>. Нарушения и недостатки, выявленные контрольным мероприятием:</w:t>
      </w:r>
    </w:p>
    <w:p w14:paraId="5C9B81BB" w14:textId="77777777" w:rsidR="006A7722" w:rsidRPr="00A30918" w:rsidRDefault="006A7722" w:rsidP="006A7722">
      <w:pPr>
        <w:ind w:firstLine="709"/>
        <w:jc w:val="both"/>
        <w:rPr>
          <w:sz w:val="28"/>
          <w:szCs w:val="28"/>
        </w:rPr>
      </w:pPr>
      <w:r w:rsidRPr="00316D0D">
        <w:rPr>
          <w:sz w:val="28"/>
          <w:szCs w:val="28"/>
        </w:rPr>
        <w:t>Анализ положений учетной политики Учреждени</w:t>
      </w:r>
      <w:r>
        <w:rPr>
          <w:sz w:val="28"/>
          <w:szCs w:val="28"/>
        </w:rPr>
        <w:t>я</w:t>
      </w:r>
      <w:r w:rsidRPr="00316D0D">
        <w:rPr>
          <w:sz w:val="28"/>
          <w:szCs w:val="28"/>
        </w:rPr>
        <w:t xml:space="preserve"> выявил многочисленные недостатки и нарушения формирования данного документа. Учетная политика не содержит информацию, обосновывающую выбор способов бухгалтерского учета и особенности их применения исходя из специфики отраслевой принадлежности и иных условий, что является нарушением пункта 6 </w:t>
      </w:r>
      <w:r w:rsidRPr="00B4725D">
        <w:rPr>
          <w:sz w:val="28"/>
          <w:szCs w:val="28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</w:t>
      </w:r>
      <w:r>
        <w:rPr>
          <w:sz w:val="28"/>
          <w:szCs w:val="28"/>
        </w:rPr>
        <w:t xml:space="preserve"> </w:t>
      </w:r>
      <w:r w:rsidRPr="00B4725D">
        <w:rPr>
          <w:sz w:val="28"/>
          <w:szCs w:val="28"/>
        </w:rPr>
        <w:t>Минфина Р</w:t>
      </w:r>
      <w:r>
        <w:rPr>
          <w:sz w:val="28"/>
          <w:szCs w:val="28"/>
        </w:rPr>
        <w:t>Ф</w:t>
      </w:r>
      <w:r w:rsidRPr="00B4725D">
        <w:rPr>
          <w:sz w:val="28"/>
          <w:szCs w:val="28"/>
        </w:rPr>
        <w:t xml:space="preserve"> от 01.12.2010 № 157н</w:t>
      </w:r>
      <w:r>
        <w:rPr>
          <w:sz w:val="28"/>
          <w:szCs w:val="28"/>
        </w:rPr>
        <w:t>.</w:t>
      </w:r>
    </w:p>
    <w:p w14:paraId="54CCCB9C" w14:textId="77777777" w:rsidR="006A7722" w:rsidRDefault="006A7722" w:rsidP="006A7722">
      <w:pPr>
        <w:ind w:firstLine="709"/>
        <w:jc w:val="both"/>
        <w:rPr>
          <w:sz w:val="28"/>
          <w:szCs w:val="28"/>
        </w:rPr>
      </w:pPr>
      <w:r w:rsidRPr="00946600">
        <w:rPr>
          <w:sz w:val="28"/>
          <w:szCs w:val="28"/>
        </w:rPr>
        <w:t>В состав учетной политики Учреждения не включено: рабочий план счетов; график документооборота, который позволяет оптимизировать учетную работу и контрольные мероприятия в учреждении;</w:t>
      </w:r>
      <w:r>
        <w:rPr>
          <w:sz w:val="28"/>
          <w:szCs w:val="28"/>
        </w:rPr>
        <w:t xml:space="preserve"> </w:t>
      </w:r>
      <w:r w:rsidRPr="00946600">
        <w:rPr>
          <w:sz w:val="28"/>
          <w:szCs w:val="28"/>
        </w:rPr>
        <w:t>не отражен механизм отражения в учете детских игрушек, методических пособий</w:t>
      </w:r>
      <w:r>
        <w:rPr>
          <w:sz w:val="28"/>
          <w:szCs w:val="28"/>
        </w:rPr>
        <w:t>; не определен порядок округления количественных показателей материальных запасов (продукты питания);н</w:t>
      </w:r>
      <w:r w:rsidRPr="00946600">
        <w:rPr>
          <w:sz w:val="28"/>
          <w:szCs w:val="28"/>
        </w:rPr>
        <w:t>е определен регистр бухгалтерского учета, в котором материально- ответственное лицо ведет учет</w:t>
      </w:r>
      <w:r>
        <w:rPr>
          <w:sz w:val="28"/>
          <w:szCs w:val="28"/>
        </w:rPr>
        <w:t xml:space="preserve"> поступивших материальных ценностей.</w:t>
      </w:r>
      <w:r w:rsidRPr="00946600">
        <w:rPr>
          <w:sz w:val="28"/>
          <w:szCs w:val="28"/>
        </w:rPr>
        <w:t xml:space="preserve"> (Книга учета материальных ценностей (</w:t>
      </w:r>
      <w:hyperlink r:id="rId5" w:anchor="/document/70951956/entry/4110" w:history="1">
        <w:r w:rsidRPr="00946600">
          <w:rPr>
            <w:sz w:val="28"/>
            <w:szCs w:val="28"/>
          </w:rPr>
          <w:t>ф. 0504042</w:t>
        </w:r>
      </w:hyperlink>
      <w:r w:rsidRPr="00946600">
        <w:rPr>
          <w:sz w:val="28"/>
          <w:szCs w:val="28"/>
        </w:rPr>
        <w:t>) по наименованиям, сортам и количеству или Карточка учета материальных ценностей (</w:t>
      </w:r>
      <w:hyperlink r:id="rId6" w:anchor="/document/70951956/entry/4120" w:history="1">
        <w:r w:rsidRPr="00946600">
          <w:rPr>
            <w:sz w:val="28"/>
            <w:szCs w:val="28"/>
          </w:rPr>
          <w:t>ф. 0504043</w:t>
        </w:r>
      </w:hyperlink>
      <w:r w:rsidRPr="00946600">
        <w:rPr>
          <w:sz w:val="28"/>
          <w:szCs w:val="28"/>
        </w:rPr>
        <w:t>) по наименованиям, сортам и количеству)</w:t>
      </w:r>
      <w:r>
        <w:rPr>
          <w:sz w:val="28"/>
          <w:szCs w:val="28"/>
        </w:rPr>
        <w:t xml:space="preserve">. </w:t>
      </w:r>
    </w:p>
    <w:p w14:paraId="4FABEFFF" w14:textId="77777777" w:rsidR="006A7722" w:rsidRDefault="006A7722" w:rsidP="006A7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3968">
        <w:rPr>
          <w:sz w:val="28"/>
          <w:szCs w:val="28"/>
        </w:rPr>
        <w:t>четной политикой предусмотрено, что выбытие (отпуск) материальных запасов осуществляется по средней фактической стоимости. Однако в ходе проверки установлено, что кроме продуктов питания все остальные материальные запасы (строительные материалы, мягкий и</w:t>
      </w:r>
      <w:r>
        <w:rPr>
          <w:sz w:val="28"/>
          <w:szCs w:val="28"/>
        </w:rPr>
        <w:t>нвентарь</w:t>
      </w:r>
      <w:r w:rsidRPr="009F3968">
        <w:rPr>
          <w:sz w:val="28"/>
          <w:szCs w:val="28"/>
        </w:rPr>
        <w:t>, медикаменты, прочие материальные запасы) списываются по фактической стоимости каждой единицы.</w:t>
      </w:r>
    </w:p>
    <w:p w14:paraId="1222D8B0" w14:textId="77777777" w:rsidR="00D94423" w:rsidRPr="009F3968" w:rsidRDefault="00D94423" w:rsidP="006A7722">
      <w:pPr>
        <w:ind w:firstLine="567"/>
        <w:jc w:val="both"/>
        <w:rPr>
          <w:sz w:val="28"/>
          <w:szCs w:val="28"/>
        </w:rPr>
      </w:pPr>
    </w:p>
    <w:p w14:paraId="5DDFA39D" w14:textId="77777777" w:rsidR="006A7722" w:rsidRDefault="006A7722" w:rsidP="00843BC6">
      <w:pPr>
        <w:ind w:right="-1" w:firstLine="567"/>
        <w:rPr>
          <w:sz w:val="28"/>
          <w:szCs w:val="28"/>
        </w:rPr>
      </w:pPr>
    </w:p>
    <w:p w14:paraId="6794A968" w14:textId="77777777" w:rsidR="00D94423" w:rsidRPr="00BA6F81" w:rsidRDefault="00D94423" w:rsidP="00D94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статьи 9 Федерального закона от 06.12.2011г. № 402-ФЗ учреждение применяло самостоятельно разработанный и не утвержденный в учетной политике документ, форма которого не унифицирована (Акт приемки продуктов питания (сентябрь 2018г). В данном документе отсутствует один из обязательных реквизитов- наименование субъекта учета, составившего документ. </w:t>
      </w:r>
    </w:p>
    <w:p w14:paraId="4D33DFC9" w14:textId="6B6E4196" w:rsidR="00D94423" w:rsidRPr="005F0D5B" w:rsidRDefault="00D94423" w:rsidP="00D94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ослаблен внутренний </w:t>
      </w:r>
      <w:bookmarkStart w:id="0" w:name="_GoBack"/>
      <w:bookmarkEnd w:id="0"/>
      <w:r>
        <w:rPr>
          <w:sz w:val="28"/>
          <w:szCs w:val="28"/>
        </w:rPr>
        <w:t xml:space="preserve">контроль за полученными материально ответственными лицами продуктами питания. Материально ответственными лицами не ведется учет поступивших продуктов питания, который должен вестись либо в </w:t>
      </w:r>
      <w:r w:rsidRPr="00946600">
        <w:rPr>
          <w:sz w:val="28"/>
          <w:szCs w:val="28"/>
        </w:rPr>
        <w:t>Книг</w:t>
      </w:r>
      <w:r>
        <w:rPr>
          <w:sz w:val="28"/>
          <w:szCs w:val="28"/>
        </w:rPr>
        <w:t>е</w:t>
      </w:r>
      <w:r w:rsidRPr="00946600">
        <w:rPr>
          <w:sz w:val="28"/>
          <w:szCs w:val="28"/>
        </w:rPr>
        <w:t xml:space="preserve"> учета материальных ценностей (</w:t>
      </w:r>
      <w:hyperlink r:id="rId7" w:anchor="/document/70951956/entry/4110" w:history="1">
        <w:r w:rsidRPr="00946600">
          <w:rPr>
            <w:sz w:val="28"/>
            <w:szCs w:val="28"/>
          </w:rPr>
          <w:t>ф. 0504042</w:t>
        </w:r>
      </w:hyperlink>
      <w:r w:rsidRPr="00946600">
        <w:rPr>
          <w:sz w:val="28"/>
          <w:szCs w:val="28"/>
        </w:rPr>
        <w:t>) по наименованиям, сортам и количеству</w:t>
      </w:r>
      <w:r w:rsidR="00354F66">
        <w:rPr>
          <w:sz w:val="28"/>
          <w:szCs w:val="28"/>
        </w:rPr>
        <w:t>,</w:t>
      </w:r>
      <w:r w:rsidRPr="00946600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</w:t>
      </w:r>
      <w:r w:rsidRPr="00946600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е</w:t>
      </w:r>
      <w:r w:rsidRPr="00946600">
        <w:rPr>
          <w:sz w:val="28"/>
          <w:szCs w:val="28"/>
        </w:rPr>
        <w:t xml:space="preserve"> учета материальных ценностей (</w:t>
      </w:r>
      <w:hyperlink r:id="rId8" w:anchor="/document/70951956/entry/4120" w:history="1">
        <w:r w:rsidRPr="00946600">
          <w:rPr>
            <w:sz w:val="28"/>
            <w:szCs w:val="28"/>
          </w:rPr>
          <w:t>ф. 0504043</w:t>
        </w:r>
      </w:hyperlink>
      <w:r w:rsidRPr="00946600">
        <w:rPr>
          <w:sz w:val="28"/>
          <w:szCs w:val="28"/>
        </w:rPr>
        <w:t>) по наименованиям, сортам и количеству</w:t>
      </w:r>
      <w:r>
        <w:rPr>
          <w:sz w:val="28"/>
          <w:szCs w:val="28"/>
        </w:rPr>
        <w:t>. В связи с чем у ответственного лица нет данных об остатках, при этом само учреждение не может их сверить с данными бухгалтерского учета.</w:t>
      </w:r>
    </w:p>
    <w:p w14:paraId="5A1CF62A" w14:textId="77777777" w:rsidR="00D94423" w:rsidRPr="0004612B" w:rsidRDefault="00D94423" w:rsidP="00D9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отсутствие надлежащего контроля за наличием и движением мягкого инвентаря. По состоянию на 01.01.2019 года в учреждении значится мягкий инвентарь общей стоимостью 44,314 тыс. рублей.</w:t>
      </w:r>
    </w:p>
    <w:p w14:paraId="241C826D" w14:textId="77777777" w:rsidR="00D94423" w:rsidRPr="00B4725D" w:rsidRDefault="00D94423" w:rsidP="00D94423">
      <w:pPr>
        <w:ind w:firstLine="709"/>
        <w:jc w:val="both"/>
        <w:rPr>
          <w:sz w:val="28"/>
          <w:szCs w:val="28"/>
        </w:rPr>
      </w:pPr>
      <w:r w:rsidRPr="00B4725D">
        <w:rPr>
          <w:sz w:val="28"/>
          <w:szCs w:val="28"/>
        </w:rPr>
        <w:t>В соответствии с п. 118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</w:t>
      </w:r>
      <w:r>
        <w:rPr>
          <w:sz w:val="28"/>
          <w:szCs w:val="28"/>
        </w:rPr>
        <w:t>вержденной приказом Минфина РФ</w:t>
      </w:r>
      <w:r w:rsidRPr="00B4725D">
        <w:rPr>
          <w:sz w:val="28"/>
          <w:szCs w:val="28"/>
        </w:rPr>
        <w:t xml:space="preserve"> от 01.12.2010</w:t>
      </w:r>
      <w:r>
        <w:rPr>
          <w:sz w:val="28"/>
          <w:szCs w:val="28"/>
        </w:rPr>
        <w:t>г.</w:t>
      </w:r>
      <w:r w:rsidRPr="00B4725D">
        <w:rPr>
          <w:sz w:val="28"/>
          <w:szCs w:val="28"/>
        </w:rPr>
        <w:t xml:space="preserve"> № 157н, предметы мягкого инвентаря, за исключением одежды и обуви для всех групп воспитанников организаций для детей-сирот и детей, оставшихся без попечения родителей,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</w:t>
      </w:r>
    </w:p>
    <w:p w14:paraId="74C448EA" w14:textId="77777777" w:rsidR="00D94423" w:rsidRPr="00B4725D" w:rsidRDefault="00D94423" w:rsidP="00D9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4725D">
        <w:rPr>
          <w:sz w:val="28"/>
          <w:szCs w:val="28"/>
        </w:rPr>
        <w:t>установлено, что предметы мягкого инвентаря</w:t>
      </w:r>
      <w:r>
        <w:rPr>
          <w:sz w:val="28"/>
          <w:szCs w:val="28"/>
        </w:rPr>
        <w:t xml:space="preserve"> (подушки, покрывала, постельное белье и т.д.)</w:t>
      </w:r>
      <w:r w:rsidRPr="00B4725D">
        <w:rPr>
          <w:sz w:val="28"/>
          <w:szCs w:val="28"/>
        </w:rPr>
        <w:t xml:space="preserve"> не маркируются, маркировочные штампы в учреждении не изготовлены. Таким образом, в нарушение п.118 Инструкции № 157н Учреждением не осуществляется должным образом учет мягкого инвентаря, что ставит под сомнение результаты проведенной инвентаризации.</w:t>
      </w:r>
    </w:p>
    <w:p w14:paraId="292E377D" w14:textId="77777777" w:rsidR="006A7722" w:rsidRDefault="00D94423" w:rsidP="00D9442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6C38">
        <w:rPr>
          <w:sz w:val="28"/>
          <w:szCs w:val="28"/>
        </w:rPr>
        <w:t>роверкой отмечено отсутствие порядка формирования расходов на приобретение материальных запасов (в т.ч. их нормирования).</w:t>
      </w:r>
    </w:p>
    <w:p w14:paraId="6D138143" w14:textId="77777777" w:rsidR="00D67167" w:rsidRDefault="00D67167" w:rsidP="00D6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материальных запасов </w:t>
      </w:r>
      <w:proofErr w:type="gramStart"/>
      <w:r>
        <w:rPr>
          <w:sz w:val="28"/>
          <w:szCs w:val="28"/>
        </w:rPr>
        <w:t>значатся  товарно</w:t>
      </w:r>
      <w:proofErr w:type="gramEnd"/>
      <w:r>
        <w:rPr>
          <w:sz w:val="28"/>
          <w:szCs w:val="28"/>
        </w:rPr>
        <w:t>- материальные ценности, которые следовало отнести  к основным средствам Учреждения</w:t>
      </w:r>
      <w:r w:rsidR="00354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(сумма нарушений 2,153 </w:t>
      </w:r>
      <w:r w:rsidR="00354F6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). </w:t>
      </w:r>
    </w:p>
    <w:p w14:paraId="2052D2CA" w14:textId="77777777" w:rsidR="00D94423" w:rsidRDefault="00D94423" w:rsidP="00D94423">
      <w:pPr>
        <w:ind w:right="-1" w:firstLine="567"/>
        <w:jc w:val="both"/>
        <w:rPr>
          <w:sz w:val="28"/>
          <w:szCs w:val="28"/>
        </w:rPr>
      </w:pPr>
    </w:p>
    <w:p w14:paraId="246D5525" w14:textId="77777777" w:rsidR="00D94423" w:rsidRDefault="00D94423" w:rsidP="00843BC6">
      <w:pPr>
        <w:ind w:right="-1" w:firstLine="567"/>
        <w:rPr>
          <w:sz w:val="28"/>
          <w:szCs w:val="28"/>
        </w:rPr>
      </w:pPr>
    </w:p>
    <w:p w14:paraId="1168240B" w14:textId="77777777" w:rsidR="00D94423" w:rsidRDefault="00D94423" w:rsidP="00843BC6">
      <w:pPr>
        <w:ind w:right="-1" w:firstLine="567"/>
        <w:rPr>
          <w:sz w:val="28"/>
          <w:szCs w:val="28"/>
        </w:rPr>
      </w:pPr>
    </w:p>
    <w:p w14:paraId="633B64EE" w14:textId="77777777" w:rsidR="00843BC6" w:rsidRPr="004B34D5" w:rsidRDefault="00354F66" w:rsidP="00843BC6">
      <w:pPr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43BC6" w:rsidRPr="004B34D5">
        <w:rPr>
          <w:bCs/>
          <w:sz w:val="28"/>
          <w:szCs w:val="28"/>
        </w:rPr>
        <w:t>. Меры, принятые по результатам контрольного мероприятия:</w:t>
      </w:r>
    </w:p>
    <w:p w14:paraId="789BDB5E" w14:textId="77777777" w:rsidR="00843BC6" w:rsidRPr="004B34D5" w:rsidRDefault="00D733C5" w:rsidP="004B34D5">
      <w:pPr>
        <w:ind w:left="34" w:firstLine="81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− </w:t>
      </w:r>
      <w:r w:rsidR="00843BC6" w:rsidRPr="004B34D5">
        <w:rPr>
          <w:bCs/>
          <w:sz w:val="28"/>
          <w:szCs w:val="28"/>
        </w:rPr>
        <w:t>н</w:t>
      </w:r>
      <w:r w:rsidR="00843BC6" w:rsidRPr="004B34D5">
        <w:rPr>
          <w:bCs/>
          <w:iCs/>
          <w:sz w:val="28"/>
          <w:szCs w:val="28"/>
        </w:rPr>
        <w:t xml:space="preserve">аправлено </w:t>
      </w:r>
      <w:r w:rsidR="00843BC6" w:rsidRPr="004B34D5">
        <w:rPr>
          <w:bCs/>
          <w:sz w:val="28"/>
          <w:szCs w:val="28"/>
        </w:rPr>
        <w:t xml:space="preserve">представление контрольно-счетной палаты </w:t>
      </w:r>
      <w:r w:rsidR="00354F66">
        <w:rPr>
          <w:bCs/>
          <w:sz w:val="28"/>
          <w:szCs w:val="28"/>
        </w:rPr>
        <w:t xml:space="preserve">Кромского района Орловской </w:t>
      </w:r>
      <w:r w:rsidR="00843BC6" w:rsidRPr="004B34D5">
        <w:rPr>
          <w:bCs/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в адрес </w:t>
      </w:r>
      <w:proofErr w:type="gramStart"/>
      <w:r w:rsidR="00354F66">
        <w:rPr>
          <w:sz w:val="28"/>
          <w:szCs w:val="28"/>
        </w:rPr>
        <w:t>директора  МБОУ</w:t>
      </w:r>
      <w:proofErr w:type="gramEnd"/>
      <w:r w:rsidR="00354F66">
        <w:rPr>
          <w:sz w:val="28"/>
          <w:szCs w:val="28"/>
        </w:rPr>
        <w:t xml:space="preserve"> «Кромская начальная общеобразовательная школа»</w:t>
      </w:r>
    </w:p>
    <w:p w14:paraId="0E3BAE58" w14:textId="77777777" w:rsidR="00843BC6" w:rsidRPr="004B34D5" w:rsidRDefault="00D733C5" w:rsidP="00843BC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="00843BC6" w:rsidRPr="004B34D5">
        <w:rPr>
          <w:bCs/>
          <w:sz w:val="28"/>
          <w:szCs w:val="28"/>
        </w:rPr>
        <w:t xml:space="preserve"> направлена информация о контрольном </w:t>
      </w:r>
      <w:proofErr w:type="gramStart"/>
      <w:r w:rsidR="00843BC6" w:rsidRPr="004B34D5">
        <w:rPr>
          <w:bCs/>
          <w:sz w:val="28"/>
          <w:szCs w:val="28"/>
        </w:rPr>
        <w:t xml:space="preserve">мероприятии </w:t>
      </w:r>
      <w:r w:rsidR="00354F66">
        <w:rPr>
          <w:bCs/>
          <w:sz w:val="28"/>
          <w:szCs w:val="28"/>
        </w:rPr>
        <w:t xml:space="preserve"> Главе</w:t>
      </w:r>
      <w:proofErr w:type="gramEnd"/>
      <w:r w:rsidR="00354F66">
        <w:rPr>
          <w:bCs/>
          <w:sz w:val="28"/>
          <w:szCs w:val="28"/>
        </w:rPr>
        <w:t xml:space="preserve"> района , начальнику</w:t>
      </w:r>
      <w:r w:rsidR="00843BC6" w:rsidRPr="004B34D5">
        <w:rPr>
          <w:bCs/>
          <w:sz w:val="28"/>
          <w:szCs w:val="28"/>
        </w:rPr>
        <w:t xml:space="preserve"> </w:t>
      </w:r>
      <w:r w:rsidR="00354F66">
        <w:rPr>
          <w:bCs/>
          <w:sz w:val="28"/>
          <w:szCs w:val="28"/>
        </w:rPr>
        <w:t>отдела образования администрации Кромского района Орловской области.</w:t>
      </w:r>
    </w:p>
    <w:p w14:paraId="229C2FED" w14:textId="77777777" w:rsidR="00843BC6" w:rsidRPr="00843BC6" w:rsidRDefault="00843BC6" w:rsidP="00843BC6">
      <w:pPr>
        <w:ind w:left="34"/>
        <w:jc w:val="both"/>
        <w:rPr>
          <w:bCs/>
          <w:sz w:val="28"/>
          <w:szCs w:val="28"/>
        </w:rPr>
      </w:pPr>
    </w:p>
    <w:sectPr w:rsidR="00843BC6" w:rsidRPr="0084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0D08EA"/>
    <w:multiLevelType w:val="hybridMultilevel"/>
    <w:tmpl w:val="7136BF08"/>
    <w:lvl w:ilvl="0" w:tplc="2990D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C6"/>
    <w:rsid w:val="00354F66"/>
    <w:rsid w:val="003B03E2"/>
    <w:rsid w:val="004B34D5"/>
    <w:rsid w:val="006A7722"/>
    <w:rsid w:val="00724B6F"/>
    <w:rsid w:val="00843BC6"/>
    <w:rsid w:val="009724CE"/>
    <w:rsid w:val="00CE0296"/>
    <w:rsid w:val="00D67167"/>
    <w:rsid w:val="00D733C5"/>
    <w:rsid w:val="00D94423"/>
    <w:rsid w:val="00E212DE"/>
    <w:rsid w:val="00F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895"/>
  <w15:docId w15:val="{2453F7DD-FD55-432F-9D99-7521B91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3BC6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nhideWhenUsed/>
    <w:qFormat/>
    <w:rsid w:val="00843BC6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C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43B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43B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843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43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43BC6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43BC6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43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43BC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43BC6"/>
    <w:pPr>
      <w:widowControl w:val="0"/>
      <w:spacing w:line="360" w:lineRule="auto"/>
      <w:ind w:firstLine="22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843BC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PK-315</cp:lastModifiedBy>
  <cp:revision>10</cp:revision>
  <dcterms:created xsi:type="dcterms:W3CDTF">2019-09-17T07:55:00Z</dcterms:created>
  <dcterms:modified xsi:type="dcterms:W3CDTF">2019-09-21T04:25:00Z</dcterms:modified>
</cp:coreProperties>
</file>