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8B" w:rsidRDefault="00EC7959" w:rsidP="003D178B">
      <w:pPr>
        <w:shd w:val="clear" w:color="auto" w:fill="F4F4F4"/>
        <w:spacing w:after="0" w:line="240" w:lineRule="auto"/>
        <w:ind w:left="709"/>
        <w:jc w:val="center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</w:pPr>
      <w:r w:rsidRPr="00EC7959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  <w:t xml:space="preserve">Федеральная налоговая служба </w:t>
      </w:r>
    </w:p>
    <w:p w:rsidR="003D178B" w:rsidRDefault="00EC7959" w:rsidP="003D178B">
      <w:pPr>
        <w:shd w:val="clear" w:color="auto" w:fill="F4F4F4"/>
        <w:spacing w:after="0" w:line="240" w:lineRule="auto"/>
        <w:ind w:left="709"/>
        <w:jc w:val="center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</w:pPr>
      <w:r w:rsidRPr="00EC7959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  <w:t xml:space="preserve">презентовала </w:t>
      </w:r>
    </w:p>
    <w:p w:rsidR="003D178B" w:rsidRDefault="00EC7959" w:rsidP="003D178B">
      <w:pPr>
        <w:shd w:val="clear" w:color="auto" w:fill="F4F4F4"/>
        <w:spacing w:after="0" w:line="240" w:lineRule="auto"/>
        <w:ind w:left="709"/>
        <w:jc w:val="center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</w:pPr>
      <w:r w:rsidRPr="00EC7959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  <w:t>«налоговый калькулятор» для бизнеса</w:t>
      </w:r>
    </w:p>
    <w:p w:rsidR="00EC7959" w:rsidRPr="00EC7959" w:rsidRDefault="00EC7959" w:rsidP="003D178B">
      <w:pPr>
        <w:shd w:val="clear" w:color="auto" w:fill="F4F4F4"/>
        <w:spacing w:after="0" w:line="240" w:lineRule="auto"/>
        <w:ind w:left="709"/>
        <w:jc w:val="center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</w:pPr>
      <w:r>
        <w:rPr>
          <w:rFonts w:ascii="Circe" w:hAnsi="Circe"/>
          <w:b/>
          <w:bCs/>
          <w:color w:val="000000"/>
          <w:sz w:val="33"/>
          <w:szCs w:val="33"/>
          <w:shd w:val="clear" w:color="auto" w:fill="F4F4F4"/>
        </w:rPr>
        <w:t>Федеральная налоговая служба (ФНС) презентовала «онлайн-калькулятор» для бизнеса. С его помощью предприниматели после отмены единого налога на вменённый доход (ЕНВД) смогут выбрать для себя другой подходящий режим.</w:t>
      </w:r>
    </w:p>
    <w:p w:rsidR="00B26349" w:rsidRDefault="00EC7959">
      <w:r>
        <w:rPr>
          <w:noProof/>
          <w:lang w:eastAsia="ru-RU"/>
        </w:rPr>
        <w:drawing>
          <wp:inline distT="0" distB="0" distL="0" distR="0" wp14:anchorId="5498B561" wp14:editId="0E42F578">
            <wp:extent cx="6019800" cy="3314700"/>
            <wp:effectExtent l="0" t="0" r="0" b="0"/>
            <wp:docPr id="1" name="Рисунок 1" descr="Федеральная налоговая служба презентовала «налоговый калькулятор» для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еральная налоговая служба презентовала «налоговый калькулятор» для бизне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17" cy="331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59" w:rsidRDefault="00DC3DBC" w:rsidP="00DC3DBC">
      <w:pPr>
        <w:ind w:firstLine="708"/>
        <w:jc w:val="both"/>
        <w:rPr>
          <w:rFonts w:ascii="Circe" w:hAnsi="Circe"/>
          <w:color w:val="000000"/>
          <w:sz w:val="33"/>
          <w:szCs w:val="33"/>
          <w:shd w:val="clear" w:color="auto" w:fill="F4F4F4"/>
        </w:rPr>
      </w:pPr>
      <w:r>
        <w:rPr>
          <w:rFonts w:ascii="Circe" w:hAnsi="Circe"/>
          <w:color w:val="000000"/>
          <w:sz w:val="33"/>
          <w:szCs w:val="33"/>
          <w:shd w:val="clear" w:color="auto" w:fill="F4F4F4"/>
        </w:rPr>
        <w:t>С помощью «калькулятора» бизнес уже сейчас может выбрать альтер</w:t>
      </w:r>
      <w:r>
        <w:rPr>
          <w:rFonts w:ascii="Circe" w:hAnsi="Circe"/>
          <w:color w:val="000000"/>
          <w:sz w:val="33"/>
          <w:szCs w:val="33"/>
          <w:shd w:val="clear" w:color="auto" w:fill="F4F4F4"/>
        </w:rPr>
        <w:softHyphen/>
        <w:t>нативу «</w:t>
      </w:r>
      <w:proofErr w:type="spellStart"/>
      <w:r>
        <w:rPr>
          <w:rFonts w:ascii="Circe" w:hAnsi="Circe"/>
          <w:color w:val="000000"/>
          <w:sz w:val="33"/>
          <w:szCs w:val="33"/>
          <w:shd w:val="clear" w:color="auto" w:fill="F4F4F4"/>
        </w:rPr>
        <w:t>вменёнке</w:t>
      </w:r>
      <w:proofErr w:type="spellEnd"/>
      <w:r>
        <w:rPr>
          <w:rFonts w:ascii="Circe" w:hAnsi="Circe"/>
          <w:color w:val="000000"/>
          <w:sz w:val="33"/>
          <w:szCs w:val="33"/>
          <w:shd w:val="clear" w:color="auto" w:fill="F4F4F4"/>
        </w:rPr>
        <w:t>». Новый сервис доступен на официальном сайте ведомства </w:t>
      </w:r>
      <w:hyperlink r:id="rId6" w:tgtFrame="_blank" w:history="1">
        <w:r>
          <w:rPr>
            <w:rStyle w:val="a5"/>
            <w:rFonts w:ascii="Circe" w:hAnsi="Circe"/>
            <w:b/>
            <w:bCs/>
            <w:color w:val="000000"/>
            <w:sz w:val="33"/>
            <w:szCs w:val="33"/>
          </w:rPr>
          <w:t>nalog.ru</w:t>
        </w:r>
      </w:hyperlink>
      <w:r>
        <w:rPr>
          <w:rFonts w:ascii="Circe" w:hAnsi="Circe"/>
          <w:color w:val="000000"/>
          <w:sz w:val="33"/>
          <w:szCs w:val="33"/>
          <w:shd w:val="clear" w:color="auto" w:fill="F4F4F4"/>
        </w:rPr>
        <w:t>. Там можно выбрать категорию (например, индивидуальный предприниматель (ИП) или компания, не зарегистрированная в качестве ИП), указать размер дохода, особенности деятельности и количество наёмных работников.</w:t>
      </w:r>
    </w:p>
    <w:p w:rsidR="00DC3DBC" w:rsidRPr="00DC3DBC" w:rsidRDefault="00DC3DBC" w:rsidP="003D178B">
      <w:pPr>
        <w:shd w:val="clear" w:color="auto" w:fill="F4F4F4"/>
        <w:spacing w:after="0" w:line="240" w:lineRule="auto"/>
        <w:jc w:val="center"/>
        <w:rPr>
          <w:rFonts w:ascii="Circe" w:eastAsia="Times New Roman" w:hAnsi="Circe" w:cs="Times New Roman"/>
          <w:b/>
          <w:bCs/>
          <w:color w:val="000000"/>
          <w:sz w:val="45"/>
          <w:szCs w:val="45"/>
          <w:lang w:eastAsia="ru-RU"/>
        </w:rPr>
      </w:pPr>
      <w:r w:rsidRPr="00DC3DBC">
        <w:rPr>
          <w:rFonts w:ascii="Circe" w:eastAsia="Times New Roman" w:hAnsi="Circe" w:cs="Times New Roman"/>
          <w:b/>
          <w:bCs/>
          <w:i/>
          <w:iCs/>
          <w:color w:val="000000"/>
          <w:sz w:val="45"/>
          <w:szCs w:val="45"/>
          <w:lang w:eastAsia="ru-RU"/>
        </w:rPr>
        <w:lastRenderedPageBreak/>
        <w:t>«"</w:t>
      </w:r>
      <w:proofErr w:type="spellStart"/>
      <w:r w:rsidRPr="00DC3DBC">
        <w:rPr>
          <w:rFonts w:ascii="Circe" w:eastAsia="Times New Roman" w:hAnsi="Circe" w:cs="Times New Roman"/>
          <w:b/>
          <w:bCs/>
          <w:i/>
          <w:iCs/>
          <w:color w:val="000000"/>
          <w:sz w:val="45"/>
          <w:szCs w:val="45"/>
          <w:lang w:eastAsia="ru-RU"/>
        </w:rPr>
        <w:t>Вменёнка</w:t>
      </w:r>
      <w:proofErr w:type="spellEnd"/>
      <w:r w:rsidRPr="00DC3DBC">
        <w:rPr>
          <w:rFonts w:ascii="Circe" w:eastAsia="Times New Roman" w:hAnsi="Circe" w:cs="Times New Roman"/>
          <w:b/>
          <w:bCs/>
          <w:i/>
          <w:iCs/>
          <w:color w:val="000000"/>
          <w:sz w:val="45"/>
          <w:szCs w:val="45"/>
          <w:lang w:eastAsia="ru-RU"/>
        </w:rPr>
        <w:t>" очень популярна у предпринимателей, но продлевать ей "жизнь" после 2020 года не планируется»</w:t>
      </w:r>
      <w:r w:rsidRPr="00DC3DBC">
        <w:rPr>
          <w:rFonts w:ascii="Circe" w:eastAsia="Times New Roman" w:hAnsi="Circe" w:cs="Times New Roman"/>
          <w:b/>
          <w:bCs/>
          <w:color w:val="000000"/>
          <w:sz w:val="45"/>
          <w:szCs w:val="45"/>
          <w:lang w:eastAsia="ru-RU"/>
        </w:rPr>
        <w:t>.</w:t>
      </w:r>
    </w:p>
    <w:p w:rsidR="00DC3DBC" w:rsidRPr="00DC3DBC" w:rsidRDefault="00DC3DBC" w:rsidP="003D178B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BC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В зависимости от этих параметров система предложит подходящий налоговый режим. В их числе: </w:t>
      </w:r>
      <w:r w:rsidRPr="00DC3DBC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упрощённая система налогообложения</w:t>
      </w:r>
      <w:r w:rsidRPr="00DC3DBC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 (с 1 июля планируется переход на УСН-онлайн, при которой налоговики будут рассчитывать налог самостоятельно, без запроса деклараций, на основе данных, полученных от онлайн-касс), </w:t>
      </w:r>
      <w:r w:rsidRPr="00DC3DBC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патент</w:t>
      </w:r>
      <w:r w:rsidRPr="00DC3DBC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 (позволяет выплачивать вместо традиционных налогов фиксированный процент от потенциально возможного годового дохода), </w:t>
      </w:r>
      <w:r w:rsidRPr="00DC3DBC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налог на профессиональный дохо</w:t>
      </w:r>
      <w:proofErr w:type="gramStart"/>
      <w:r w:rsidRPr="00DC3DBC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д</w:t>
      </w:r>
      <w:r w:rsidRPr="00DC3DBC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(</w:t>
      </w:r>
      <w:proofErr w:type="gramEnd"/>
      <w:r w:rsidRPr="00DC3DBC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действует для </w:t>
      </w:r>
      <w:proofErr w:type="spellStart"/>
      <w:r w:rsidRPr="00DC3DBC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самозанятых</w:t>
      </w:r>
      <w:proofErr w:type="spellEnd"/>
      <w:r w:rsidRPr="00DC3DBC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при условии регистрации в мобильном приложении), </w:t>
      </w:r>
      <w:r w:rsidRPr="00DC3DBC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общий режим</w:t>
      </w:r>
      <w:r w:rsidRPr="00DC3DBC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. По каждому есть краткая справка и порядок перехода.</w:t>
      </w:r>
    </w:p>
    <w:p w:rsidR="00DC3DBC" w:rsidRPr="00DC3DBC" w:rsidRDefault="00DC3DBC" w:rsidP="003D178B">
      <w:pPr>
        <w:shd w:val="clear" w:color="auto" w:fill="F4F4F4"/>
        <w:spacing w:after="0" w:line="240" w:lineRule="auto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DC3DBC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Подготовить «налоговый калькулятор» ФНС поручил председатель Правительства РФ </w:t>
      </w:r>
      <w:r w:rsidRPr="00DC3DBC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Миха</w:t>
      </w:r>
      <w:bookmarkStart w:id="0" w:name="_GoBack"/>
      <w:bookmarkEnd w:id="0"/>
      <w:r w:rsidRPr="00DC3DBC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 xml:space="preserve">ил </w:t>
      </w:r>
      <w:proofErr w:type="spellStart"/>
      <w:r w:rsidRPr="00DC3DBC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Мишустин</w:t>
      </w:r>
      <w:proofErr w:type="spellEnd"/>
      <w:r w:rsidRPr="00DC3DBC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 в связи с отменой «</w:t>
      </w:r>
      <w:proofErr w:type="spellStart"/>
      <w:r w:rsidRPr="00DC3DBC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вменёнки</w:t>
      </w:r>
      <w:proofErr w:type="spellEnd"/>
      <w:r w:rsidRPr="00DC3DBC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» с 1 января 2021 года.</w:t>
      </w:r>
    </w:p>
    <w:p w:rsidR="007C2E73" w:rsidRPr="007C2E73" w:rsidRDefault="007C2E73" w:rsidP="003D178B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73">
        <w:rPr>
          <w:rFonts w:ascii="Circe" w:eastAsia="Times New Roman" w:hAnsi="Circe" w:cs="Times New Roman"/>
          <w:i/>
          <w:iCs/>
          <w:color w:val="000000"/>
          <w:sz w:val="27"/>
          <w:szCs w:val="27"/>
          <w:lang w:eastAsia="ru-RU"/>
        </w:rPr>
        <w:t>«Нужно провести более активную разъяснительную кампанию, чтобы было понятно, каким образом переходить на другие режимы. И сделать налоговый калькулятор, чтобы предприниматель мог посмотреть, что выгоднее»</w:t>
      </w:r>
      <w:r w:rsidRPr="007C2E7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, – сказал глава Правительства на встрече с представителями малого и среднего бизнеса.</w:t>
      </w:r>
    </w:p>
    <w:p w:rsidR="007C2E73" w:rsidRPr="007C2E73" w:rsidRDefault="007C2E73" w:rsidP="003D178B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73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ЕНВД</w:t>
      </w:r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 появился в 2002 году, когда требовалось вывести из «тени» те виды деятельности, которые не поддавались контролю. За это время он стала вторым по востребованности </w:t>
      </w:r>
      <w:proofErr w:type="spellStart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спецрежимом</w:t>
      </w:r>
      <w:proofErr w:type="spellEnd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после упрощённой системы налогообложения. Им пользуются 200 тыс. юридических лиц и около 1,8 </w:t>
      </w:r>
      <w:proofErr w:type="gramStart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млн</w:t>
      </w:r>
      <w:proofErr w:type="gramEnd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индивидуальных предпринимателей. В то же время после того, как почти все компании и ИП перешли на онлайн-кассы с автоматической передачей данных в </w:t>
      </w:r>
      <w:proofErr w:type="gramStart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налоговую</w:t>
      </w:r>
      <w:proofErr w:type="gramEnd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, стало понятно, что некоторые игроки с миллиардными оборотами используют «</w:t>
      </w:r>
      <w:proofErr w:type="spellStart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вменёнку</w:t>
      </w:r>
      <w:proofErr w:type="spellEnd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» для уменьшения налоговых платежей. По статистике ФНС, средний размер вменённого дохода компаний, работающих на «</w:t>
      </w:r>
      <w:proofErr w:type="spellStart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вменёнке</w:t>
      </w:r>
      <w:proofErr w:type="spellEnd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», составляет не больше 450 тыс. рублей в год, а объём выручки – более 12 </w:t>
      </w:r>
      <w:proofErr w:type="gramStart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млн</w:t>
      </w:r>
      <w:proofErr w:type="gramEnd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рублей, то есть в 26 раз больше.</w:t>
      </w:r>
    </w:p>
    <w:p w:rsidR="007C2E73" w:rsidRPr="007C2E73" w:rsidRDefault="007C2E73" w:rsidP="00785F3D">
      <w:pPr>
        <w:shd w:val="clear" w:color="auto" w:fill="F4F4F4"/>
        <w:spacing w:after="0" w:line="240" w:lineRule="auto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Налогообложение «вменённого дохода» характерно </w:t>
      </w:r>
      <w:proofErr w:type="gramStart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для</w:t>
      </w:r>
      <w:proofErr w:type="gramEnd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развивающихся налоговых систем, комментирует </w:t>
      </w:r>
      <w:r w:rsidRPr="007C2E73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Михаил Орлов</w:t>
      </w:r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, партнёр KPMG в России и СНГ. Главная проблема ЕНВД </w:t>
      </w:r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lastRenderedPageBreak/>
        <w:t>заключается в неспособности взимания справедливого налога, основанного на финансово-экономических показателях бизнеса. На ранних этапах становления налоговой системы государства это уместно, но по мере совершенствования налогового контроля от таких налогов необходимо отказываться, указывает Орлов.</w:t>
      </w:r>
    </w:p>
    <w:p w:rsidR="007C2E73" w:rsidRPr="007C2E73" w:rsidRDefault="007C2E73" w:rsidP="0078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8B" w:rsidRDefault="007C2E73" w:rsidP="003D178B">
      <w:pPr>
        <w:shd w:val="clear" w:color="auto" w:fill="F4F4F4"/>
        <w:spacing w:after="0" w:line="240" w:lineRule="auto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Вместе с тем отказ от ЕНВД ставит перед государством серьёзные вопросы: что получит малый бизнес взамен и как удержать его от возврата в «тень», отмечает эксперт. Сегодня привлекает предпринимателей в режиме </w:t>
      </w:r>
      <w:proofErr w:type="gramStart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ЕНВД</w:t>
      </w:r>
      <w:proofErr w:type="gramEnd"/>
      <w:r w:rsidRPr="007C2E73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прежде всего простота уплаты налога, низкая по сравнению с общим режимом налоговая нагрузка и низкий уровень административных издержек.</w:t>
      </w:r>
    </w:p>
    <w:p w:rsidR="007C2E73" w:rsidRPr="007C2E73" w:rsidRDefault="007C2E73" w:rsidP="003D178B">
      <w:pPr>
        <w:shd w:val="clear" w:color="auto" w:fill="F4F4F4"/>
        <w:spacing w:after="0" w:line="240" w:lineRule="auto"/>
        <w:ind w:firstLine="708"/>
        <w:jc w:val="both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7C2E73">
        <w:rPr>
          <w:rFonts w:ascii="Circe" w:eastAsia="Times New Roman" w:hAnsi="Circe" w:cs="Times New Roman"/>
          <w:i/>
          <w:iCs/>
          <w:color w:val="000000"/>
          <w:sz w:val="27"/>
          <w:szCs w:val="27"/>
          <w:lang w:eastAsia="ru-RU"/>
        </w:rPr>
        <w:t>«Сопоставимыми преференциями для бизнеса обладает УСН. Но его необходимо доработать для того, чтобы большее число организаций и ИП смогли бы перейти на этот режим</w:t>
      </w:r>
      <w:r w:rsidRPr="007C2E7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, – полагает Орлов. – </w:t>
      </w:r>
      <w:r w:rsidRPr="007C2E73">
        <w:rPr>
          <w:rFonts w:ascii="Circe" w:eastAsia="Times New Roman" w:hAnsi="Circe" w:cs="Times New Roman"/>
          <w:i/>
          <w:iCs/>
          <w:color w:val="000000"/>
          <w:sz w:val="27"/>
          <w:szCs w:val="27"/>
          <w:lang w:eastAsia="ru-RU"/>
        </w:rPr>
        <w:t xml:space="preserve">Для этого требуется поднять пороговые значения по выручке и скорректировать правоприменительную практику налоговых органов, которые часто видят злоупотребления в том, что одному лицу принадлежит </w:t>
      </w:r>
      <w:proofErr w:type="gramStart"/>
      <w:r w:rsidRPr="007C2E73">
        <w:rPr>
          <w:rFonts w:ascii="Circe" w:eastAsia="Times New Roman" w:hAnsi="Circe" w:cs="Times New Roman"/>
          <w:i/>
          <w:iCs/>
          <w:color w:val="000000"/>
          <w:sz w:val="27"/>
          <w:szCs w:val="27"/>
          <w:lang w:eastAsia="ru-RU"/>
        </w:rPr>
        <w:t>две и более организаций</w:t>
      </w:r>
      <w:proofErr w:type="gramEnd"/>
      <w:r w:rsidRPr="007C2E73">
        <w:rPr>
          <w:rFonts w:ascii="Circe" w:eastAsia="Times New Roman" w:hAnsi="Circe" w:cs="Times New Roman"/>
          <w:i/>
          <w:iCs/>
          <w:color w:val="000000"/>
          <w:sz w:val="27"/>
          <w:szCs w:val="27"/>
          <w:lang w:eastAsia="ru-RU"/>
        </w:rPr>
        <w:t>, находящихся на режиме УСН. В этом налоговики усматривают дробление бизнеса, что не всегда так»</w:t>
      </w:r>
      <w:r w:rsidRPr="007C2E7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.</w:t>
      </w:r>
    </w:p>
    <w:p w:rsidR="00DC3DBC" w:rsidRDefault="00DC3DBC" w:rsidP="007C2E73">
      <w:pPr>
        <w:ind w:firstLine="708"/>
        <w:jc w:val="both"/>
      </w:pPr>
    </w:p>
    <w:sectPr w:rsidR="00DC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DC"/>
    <w:rsid w:val="003D178B"/>
    <w:rsid w:val="00785F3D"/>
    <w:rsid w:val="007C2E73"/>
    <w:rsid w:val="00A407DC"/>
    <w:rsid w:val="00B07166"/>
    <w:rsid w:val="00B26349"/>
    <w:rsid w:val="00DC3DBC"/>
    <w:rsid w:val="00E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C3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C3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7</cp:revision>
  <dcterms:created xsi:type="dcterms:W3CDTF">2020-02-28T11:11:00Z</dcterms:created>
  <dcterms:modified xsi:type="dcterms:W3CDTF">2020-02-28T11:17:00Z</dcterms:modified>
</cp:coreProperties>
</file>